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312" w:afterLines="100" w:afterAutospacing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哲学系逻辑学双学位专业招生简章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b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专业历史沿革和特色</w:t>
      </w:r>
    </w:p>
    <w:p>
      <w:pPr>
        <w:spacing w:beforeAutospacing="0" w:afterAutospacing="0" w:line="360" w:lineRule="auto"/>
        <w:ind w:left="360"/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北京大学是逻辑学在中国的发源地，包括严复、胡适等校长在内的北大人对逻辑学传入中国做出了奠基性的贡献，章士钊、张申府、汪奠基、金岳霖、沈有鼎、王宪钧等几代北大哲学系教授引领并推动了现代逻辑在中国的发展，胡世华、吴允增、马希文等教授又对逻辑学与数学、语言学以及计算机科学的交叉做出了开创性的贡献，使得北大在国内逻辑学的教学与科研方面具有不可替代的重要地位。北大哲学系的逻辑学本科专业成立于1987年，是我国最早设立的以现代逻辑为主要方向的逻辑学本科专业，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现增设逻辑学双学位项目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。</w:t>
      </w:r>
    </w:p>
    <w:p>
      <w:pPr>
        <w:numPr>
          <w:ilvl w:val="0"/>
          <w:numId w:val="1"/>
        </w:numPr>
        <w:tabs>
          <w:tab w:val="clear" w:pos="360"/>
        </w:tabs>
        <w:spacing w:beforeAutospacing="0" w:afterAutospacing="0" w:line="360" w:lineRule="auto"/>
        <w:ind w:left="360"/>
        <w:rPr>
          <w:rFonts w:hint="eastAsia" w:ascii="宋体" w:hAnsi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/>
          <w:b/>
          <w:sz w:val="24"/>
          <w:szCs w:val="24"/>
        </w:rPr>
        <w:t>培养目标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逻辑学专业双学位项目旨在培养具有哲学和逻辑学的基础知识，拥有跨学科视野的复合型人才，结合主修专业的训练，使学生能够使用逻辑学的工具从事与哲学、数学、计算机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</w:rPr>
        <w:t>以及语言学等相关学科的交叉研究和应用。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招生对象</w:t>
      </w:r>
      <w:r>
        <w:rPr>
          <w:rFonts w:hint="eastAsia" w:ascii="宋体" w:hAnsi="宋体"/>
          <w:sz w:val="24"/>
          <w:szCs w:val="24"/>
        </w:rPr>
        <w:t>：逻辑学专业的课程需要三个教学年度完成，按学校双学位专业课程与主修专业课程“同质要求、同质管理”的规定，逻辑学双学位只招收大学一年级的同学申报。今年</w:t>
      </w:r>
      <w:r>
        <w:rPr>
          <w:rFonts w:hint="eastAsia" w:ascii="宋体" w:hAnsi="宋体"/>
          <w:color w:val="000000"/>
          <w:sz w:val="24"/>
          <w:szCs w:val="24"/>
        </w:rPr>
        <w:t>接受20</w:t>
      </w:r>
      <w:r>
        <w:rPr>
          <w:rFonts w:ascii="宋体" w:hAnsi="宋体"/>
          <w:color w:val="000000"/>
          <w:sz w:val="24"/>
          <w:szCs w:val="24"/>
        </w:rPr>
        <w:t>21</w:t>
      </w:r>
      <w:r>
        <w:rPr>
          <w:rFonts w:hint="eastAsia" w:ascii="宋体" w:hAnsi="宋体"/>
          <w:color w:val="000000"/>
          <w:sz w:val="24"/>
          <w:szCs w:val="24"/>
        </w:rPr>
        <w:t>级在读本科学生报名。要求申双的</w:t>
      </w:r>
      <w:r>
        <w:rPr>
          <w:rFonts w:hint="eastAsia" w:ascii="宋体" w:hAnsi="宋体"/>
          <w:sz w:val="24"/>
          <w:szCs w:val="24"/>
        </w:rPr>
        <w:t>学生已修课程没有不及格成绩且平均绩点在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.0以上，学有余力，思想品德好，主修专业未受到任何形式的处分，对哲学与逻辑学有浓厚兴趣。特别欢迎数学</w:t>
      </w:r>
      <w:r>
        <w:rPr>
          <w:rFonts w:hint="default" w:ascii="宋体" w:hAnsi="宋体"/>
          <w:sz w:val="24"/>
          <w:szCs w:val="24"/>
        </w:rPr>
        <w:t>、计算机、语言学、经济学背景的同学申请。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eastAsia" w:ascii="宋体" w:hAnsi="宋体"/>
          <w:sz w:val="24"/>
          <w:szCs w:val="24"/>
        </w:rPr>
        <w:t>：双学位：4</w:t>
      </w:r>
      <w:r>
        <w:rPr>
          <w:rFonts w:hint="default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 xml:space="preserve">学分 </w:t>
      </w:r>
      <w:r>
        <w:rPr>
          <w:rFonts w:ascii="宋体" w:hAnsi="宋体"/>
          <w:sz w:val="24"/>
          <w:szCs w:val="24"/>
        </w:rPr>
        <w:t xml:space="preserve"> 辅修 24学分</w:t>
      </w:r>
    </w:p>
    <w:p>
      <w:pPr>
        <w:numPr>
          <w:ilvl w:val="0"/>
          <w:numId w:val="1"/>
        </w:numPr>
        <w:tabs>
          <w:tab w:val="clear" w:pos="360"/>
        </w:tabs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学历与学位：</w:t>
      </w:r>
      <w:r>
        <w:rPr>
          <w:rFonts w:hint="eastAsia" w:ascii="宋体" w:hAnsi="宋体"/>
          <w:sz w:val="24"/>
          <w:szCs w:val="24"/>
        </w:rPr>
        <w:t>以学校相关规定为准。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 xml:space="preserve">授予双学位类型：哲学学士学位。 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选课要求及课程设置：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双学位课程</w:t>
      </w:r>
      <w:r>
        <w:rPr>
          <w:rFonts w:hint="eastAsia" w:ascii="宋体" w:hAnsi="宋体"/>
          <w:sz w:val="24"/>
          <w:szCs w:val="24"/>
          <w:lang w:eastAsia="zh-Hans"/>
        </w:rPr>
        <w:t>（</w:t>
      </w:r>
      <w:r>
        <w:rPr>
          <w:rFonts w:hint="eastAsia" w:ascii="宋体" w:hAnsi="宋体"/>
          <w:sz w:val="24"/>
          <w:szCs w:val="24"/>
          <w:lang w:val="en-US" w:eastAsia="zh-Hans"/>
        </w:rPr>
        <w:t>辅修</w:t>
      </w:r>
      <w:r>
        <w:rPr>
          <w:rFonts w:hint="eastAsia" w:ascii="宋体" w:hAnsi="宋体"/>
          <w:sz w:val="24"/>
          <w:szCs w:val="24"/>
          <w:lang w:eastAsia="zh-Hans"/>
        </w:rPr>
        <w:t>）</w:t>
      </w:r>
      <w:r>
        <w:rPr>
          <w:rFonts w:hint="eastAsia" w:ascii="宋体" w:hAnsi="宋体"/>
          <w:sz w:val="24"/>
          <w:szCs w:val="24"/>
        </w:rPr>
        <w:t>与主修课程同一课堂授课，不单独开班；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修读双学位的同学应在前两年内完成专业必修课的学习。哲学系将于大三下（第9周起）进行选课审查。未能如期完成专业必修课的同学，将不准许继续修读双学位；</w:t>
      </w:r>
    </w:p>
    <w:p>
      <w:pPr>
        <w:spacing w:beforeAutospacing="0" w:afterAutospacing="0"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C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双学位课程</w:t>
      </w:r>
      <w:r>
        <w:rPr>
          <w:rFonts w:hint="eastAsia" w:ascii="宋体" w:hAnsi="宋体"/>
          <w:sz w:val="24"/>
          <w:szCs w:val="24"/>
          <w:lang w:eastAsia="zh-Hans"/>
        </w:rPr>
        <w:t>（</w:t>
      </w:r>
      <w:r>
        <w:rPr>
          <w:rFonts w:hint="eastAsia" w:ascii="宋体" w:hAnsi="宋体"/>
          <w:sz w:val="24"/>
          <w:szCs w:val="24"/>
          <w:lang w:val="en-US" w:eastAsia="zh-Hans"/>
        </w:rPr>
        <w:t>辅修</w:t>
      </w:r>
      <w:r>
        <w:rPr>
          <w:rFonts w:hint="eastAsia" w:ascii="宋体" w:hAnsi="宋体"/>
          <w:sz w:val="24"/>
          <w:szCs w:val="24"/>
          <w:lang w:eastAsia="zh-Hans"/>
        </w:rPr>
        <w:t>）</w:t>
      </w:r>
      <w:r>
        <w:rPr>
          <w:rFonts w:hint="eastAsia" w:ascii="宋体" w:hAnsi="宋体"/>
          <w:sz w:val="24"/>
          <w:szCs w:val="24"/>
        </w:rPr>
        <w:t>不得申请以自修方式取得学分。</w:t>
      </w:r>
    </w:p>
    <w:p>
      <w:pPr>
        <w:spacing w:beforeAutospacing="0" w:afterAutospacing="0" w:line="360" w:lineRule="auto"/>
        <w:ind w:left="36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D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因重修或缓考等特殊原因申请冲突选课的情况，应根据C项要求及学校相关规定执行。（重修及缓考课程申请冲突选课时需提交相关课程的出勤证明）；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专业核心课程（双学位</w:t>
      </w:r>
      <w:r>
        <w:rPr>
          <w:rFonts w:hint="default" w:ascii="宋体" w:hAnsi="宋体"/>
          <w:b/>
          <w:sz w:val="24"/>
          <w:szCs w:val="24"/>
        </w:rPr>
        <w:t>：29</w:t>
      </w: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default" w:ascii="宋体" w:hAnsi="宋体"/>
          <w:b/>
          <w:sz w:val="24"/>
          <w:szCs w:val="24"/>
        </w:rPr>
        <w:t>；</w:t>
      </w:r>
      <w:r>
        <w:rPr>
          <w:rFonts w:hint="eastAsia" w:ascii="宋体" w:hAnsi="宋体"/>
          <w:b/>
          <w:sz w:val="24"/>
          <w:szCs w:val="24"/>
        </w:rPr>
        <w:t xml:space="preserve"> 辅修</w:t>
      </w:r>
      <w:r>
        <w:rPr>
          <w:rFonts w:hint="default" w:ascii="宋体" w:hAnsi="宋体"/>
          <w:b/>
          <w:sz w:val="24"/>
          <w:szCs w:val="24"/>
        </w:rPr>
        <w:t>：18学分，不包括: 中国哲学（上）及讨论班、西方哲学（上）及讨论班、毕业论文</w:t>
      </w:r>
      <w:r>
        <w:rPr>
          <w:rFonts w:hint="eastAsia" w:ascii="宋体" w:hAnsi="宋体"/>
          <w:b/>
          <w:sz w:val="24"/>
          <w:szCs w:val="24"/>
        </w:rPr>
        <w:t>）：</w:t>
      </w:r>
    </w:p>
    <w:p>
      <w:pPr>
        <w:spacing w:beforeAutospacing="0" w:afterAutospacing="0" w:line="360" w:lineRule="auto"/>
        <w:ind w:left="78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专业必修课：2</w:t>
      </w:r>
      <w:r>
        <w:rPr>
          <w:rFonts w:hint="default"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891"/>
        <w:gridCol w:w="1161"/>
        <w:gridCol w:w="879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选课学期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02330003&amp;</w:t>
            </w:r>
            <w:r>
              <w:rPr>
                <w:rFonts w:ascii="宋体" w:hAnsi="宋体" w:eastAsia="宋体" w:cs="Times New Roman"/>
              </w:rPr>
              <w:t xml:space="preserve"> 02330004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哲学导论&amp;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哲学导论讨论班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02336401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逻辑与论证</w:t>
            </w:r>
          </w:p>
        </w:tc>
        <w:tc>
          <w:tcPr>
            <w:tcW w:w="979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ascii="宋体" w:hAnsi="宋体" w:eastAsia="宋体" w:cs="Times New Roman"/>
              </w:rPr>
              <w:t>20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02330030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逻辑导论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第二学期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02330092&amp;</w:t>
            </w:r>
            <w:r>
              <w:rPr>
                <w:rFonts w:ascii="宋体" w:hAnsi="宋体" w:eastAsia="宋体" w:cs="Times New Roman"/>
              </w:rPr>
              <w:t xml:space="preserve"> 02330093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中国哲学（上）&amp;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中国哲学（上）讨论班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02330051&amp;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02330055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西方哲学（上）&amp;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西方哲学（上）讨论班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jc w:val="center"/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02330132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科学哲学导论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  <w:lang w:val="en-US" w:eastAsia="zh-CN" w:bidi="en-US"/>
              </w:rPr>
              <w:t>02331070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数理逻辑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4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第二学期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  <w:lang w:val="en-US" w:eastAsia="zh-CN" w:bidi="en-US"/>
              </w:rPr>
              <w:t>02331051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模态逻辑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023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2024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</w:tbl>
    <w:p>
      <w:pPr>
        <w:spacing w:beforeAutospacing="0" w:afterAutospacing="0" w:line="360" w:lineRule="auto"/>
        <w:rPr>
          <w:rFonts w:ascii="宋体" w:hAnsi="宋体"/>
        </w:rPr>
      </w:pPr>
    </w:p>
    <w:p>
      <w:pPr>
        <w:spacing w:beforeAutospacing="0" w:afterAutospacing="0" w:line="360" w:lineRule="auto"/>
        <w:ind w:left="360" w:firstLine="435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双学位学位论文：5学分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大三</w:t>
      </w:r>
      <w:bookmarkStart w:id="1" w:name="_GoBack"/>
      <w:bookmarkEnd w:id="1"/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下选导师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</w:rPr>
        <w:t>;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大四上12月底前提交纸版导师签字的毕业论文大纲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</w:rPr>
        <w:t>;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大四下需选修课程：学位论文 （02330582）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专业选修课程（双学位</w:t>
      </w:r>
      <w:r>
        <w:rPr>
          <w:rFonts w:hint="default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</w:rPr>
        <w:t>1</w:t>
      </w:r>
      <w:r>
        <w:rPr>
          <w:rFonts w:hint="default"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default" w:ascii="宋体" w:hAnsi="宋体"/>
          <w:b/>
          <w:sz w:val="24"/>
          <w:szCs w:val="24"/>
        </w:rPr>
        <w:t>， 辅修6学分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beforeAutospacing="0" w:afterAutospacing="0" w:line="360" w:lineRule="auto"/>
        <w:ind w:left="780"/>
        <w:rPr>
          <w:rFonts w:ascii="宋体" w:hAnsi="宋体"/>
          <w:sz w:val="24"/>
          <w:szCs w:val="24"/>
        </w:rPr>
      </w:pPr>
      <w:bookmarkStart w:id="0" w:name="_Hlk37862638"/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选修要求：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双学位：在2个模块中修满相应学分要求的课程；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hint="eastAsia" w:ascii="宋体" w:hAnsi="宋体" w:eastAsia="宋体" w:cs="Times New Roman"/>
          <w:b w:val="0"/>
          <w:i w:val="0"/>
          <w:strike w:val="0"/>
          <w:dstrike w:val="0"/>
          <w:color w:val="auto"/>
          <w:w w:val="100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辅修：在逻辑学模块修满6学分课程。</w:t>
      </w:r>
      <w:bookmarkEnd w:id="0"/>
    </w:p>
    <w:p>
      <w:pPr>
        <w:pStyle w:val="12"/>
        <w:ind w:firstLine="0"/>
      </w:pPr>
    </w:p>
    <w:tbl>
      <w:tblPr>
        <w:tblStyle w:val="19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46" w:type="dxa"/>
          </w:tcPr>
          <w:p>
            <w:pPr>
              <w:tabs>
                <w:tab w:val="left" w:pos="426"/>
              </w:tabs>
              <w:ind w:left="0" w:leftChars="0"/>
              <w:jc w:val="center"/>
              <w:rPr>
                <w:rFonts w:ascii="宋体" w:hAnsi="宋体" w:eastAsia="宋体" w:cs="Times New Roman"/>
                <w:b/>
                <w:color w:val="494949"/>
              </w:rPr>
            </w:pPr>
            <w:r>
              <w:rPr>
                <w:rFonts w:hint="eastAsia" w:ascii="宋体" w:hAnsi="宋体" w:eastAsia="宋体" w:cs="Times New Roman"/>
                <w:b/>
                <w:color w:val="494949"/>
              </w:rPr>
              <w:t>类别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  <w:b/>
                <w:color w:val="494949"/>
              </w:rPr>
            </w:pPr>
            <w:r>
              <w:rPr>
                <w:rFonts w:hint="eastAsia" w:ascii="宋体" w:hAnsi="宋体" w:eastAsia="宋体" w:cs="Times New Roman"/>
                <w:b/>
                <w:color w:val="494949"/>
              </w:rPr>
              <w:t>双学位学分要求</w:t>
            </w:r>
          </w:p>
        </w:tc>
      </w:tr>
      <w:tr>
        <w:tc>
          <w:tcPr>
            <w:tcW w:w="1846" w:type="dxa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  <w:strike w:val="0"/>
                <w:dstrike w:val="0"/>
                <w:color w:val="494949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  <w:color w:val="494949"/>
              </w:rPr>
              <w:t>哲学模块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strike w:val="0"/>
                <w:dstrike w:val="0"/>
                <w:color w:val="494949"/>
              </w:rPr>
            </w:pPr>
            <w:r>
              <w:rPr>
                <w:rFonts w:hint="default" w:ascii="Calibri" w:eastAsia="宋体" w:cs="Times New Roman"/>
                <w:strike w:val="0"/>
                <w:dstrike w:val="0"/>
                <w:color w:val="494949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46" w:type="dxa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color w:val="494949"/>
              </w:rPr>
            </w:pPr>
            <w:r>
              <w:rPr>
                <w:rFonts w:hint="eastAsia" w:ascii="Calibri" w:eastAsia="宋体" w:cs="Times New Roman"/>
                <w:color w:val="494949"/>
              </w:rPr>
              <w:t>逻辑学模块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color w:val="494949"/>
                <w:highlight w:val="yellow"/>
              </w:rPr>
            </w:pPr>
            <w:r>
              <w:rPr>
                <w:rFonts w:hint="default" w:ascii="Calibri" w:eastAsia="宋体" w:cs="Times New Roman"/>
                <w:color w:val="494949"/>
              </w:rPr>
              <w:t>8</w:t>
            </w:r>
          </w:p>
        </w:tc>
      </w:tr>
    </w:tbl>
    <w:p>
      <w:pPr>
        <w:pStyle w:val="12"/>
      </w:pPr>
    </w:p>
    <w:p>
      <w:pPr>
        <w:pStyle w:val="12"/>
        <w:ind w:firstLine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哲学模块：</w:t>
      </w:r>
      <w:r>
        <w:rPr>
          <w:rFonts w:hint="default"/>
          <w:b/>
          <w:bCs/>
          <w:sz w:val="22"/>
          <w:szCs w:val="22"/>
        </w:rPr>
        <w:t>4</w:t>
      </w:r>
      <w:r>
        <w:rPr>
          <w:rFonts w:hint="eastAsia"/>
          <w:b/>
          <w:bCs/>
          <w:sz w:val="22"/>
          <w:szCs w:val="22"/>
        </w:rPr>
        <w:t>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00"/>
        <w:gridCol w:w="1572"/>
        <w:gridCol w:w="1572"/>
      </w:tblGrid>
      <w:tr>
        <w:trPr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52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02335100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知识论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02330340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形而上学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02330610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心灵哲学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02333391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语言哲学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02333141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当代分析哲学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02333150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分析哲学专题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02330096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中国哲学（下）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02330053</w:t>
            </w:r>
          </w:p>
        </w:tc>
        <w:tc>
          <w:tcPr>
            <w:tcW w:w="3529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000000"/>
                <w:sz w:val="21"/>
                <w:szCs w:val="21"/>
              </w:rPr>
              <w:t>西方哲学（下）</w:t>
            </w:r>
          </w:p>
        </w:tc>
        <w:tc>
          <w:tcPr>
            <w:tcW w:w="1290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02330142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伦理学导论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02330152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美学原理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02336180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中世纪哲学原著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02330320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当代认识论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02330620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科学社会学导论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02335110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科学与宗教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02335330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世界文明中的科学技术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02319160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生物学哲学导论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02332980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维特根斯坦哲学研究</w:t>
            </w:r>
          </w:p>
        </w:tc>
        <w:tc>
          <w:tcPr>
            <w:tcW w:w="1290" w:type="dxa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</w:tr>
    </w:tbl>
    <w:p>
      <w:pPr>
        <w:pStyle w:val="12"/>
      </w:pPr>
    </w:p>
    <w:p>
      <w:pPr>
        <w:pStyle w:val="12"/>
        <w:ind w:firstLine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逻辑学模块：8学分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00"/>
        <w:gridCol w:w="1572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52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02331031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一阶逻辑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02315051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高级模态逻辑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楷体" w:cs="Times New Roman"/>
              </w:rPr>
              <w:t>02315320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知识的逻辑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02331121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形式语义学导论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02331240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公理集合论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02331221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模型论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eastAsia" w:ascii="Times New Roman" w:hAnsi="Times New Roman" w:eastAsia="宋体" w:cs="Arial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02315031</w:t>
            </w:r>
          </w:p>
        </w:tc>
        <w:tc>
          <w:tcPr>
            <w:tcW w:w="3529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eastAsia" w:ascii="Times New Roman" w:hAnsi="Times New Roman" w:eastAsia="宋体" w:cs="Arial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递归论基础</w:t>
            </w:r>
          </w:p>
        </w:tc>
        <w:tc>
          <w:tcPr>
            <w:tcW w:w="1290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02331160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直觉主义逻辑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02331370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数学结构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02331100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02331181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逻辑史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02331271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悖论研究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宋体" w:cs="Times New Roman"/>
              </w:rPr>
              <w:t>02331073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数理逻辑专题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宋体" w:cs="Times New Roman"/>
              </w:rPr>
              <w:t>02331191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哲学逻辑专题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02331260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逻辑应用专题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数学哲学专题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逻辑史与逻辑哲学专题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</w:tbl>
    <w:p>
      <w:p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收费标准：</w:t>
      </w:r>
      <w:r>
        <w:rPr>
          <w:rFonts w:hint="eastAsia" w:ascii="宋体" w:hAnsi="宋体"/>
          <w:sz w:val="24"/>
          <w:szCs w:val="24"/>
        </w:rPr>
        <w:t>根据学校相关规定要求执行。本级双学位费用为100元/学分，每学期按选课学分数量一次交清，网上选课网上交费。具体交费时间请于每学期开学第二周登录教务部网站主页查询，不再另行通知，未在规定时间内进行交费的视为放弃选课（已选课程将被从选课名单中删除），后果自负。补退选时间同主修专业时间一致，学期中途退课，所交学费不予退还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报名方法时间、地点：</w:t>
      </w:r>
      <w:r>
        <w:rPr>
          <w:rFonts w:hint="eastAsia" w:ascii="宋体" w:hAnsi="宋体"/>
          <w:sz w:val="24"/>
          <w:szCs w:val="24"/>
        </w:rPr>
        <w:t>在学校规定的报名时间内网上报名，填写《修读双学位专业申请表》，向主修院系提交书面申请交哲学系教务办公室审批。</w:t>
      </w:r>
    </w:p>
    <w:p>
      <w:pPr>
        <w:spacing w:beforeAutospacing="0" w:afterAutospacing="0"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报名时间：4月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日至5月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beforeAutospacing="0" w:afterAutospacing="0"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报名地点：李兆基人文学苑2号楼119房间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招生人数：</w:t>
      </w:r>
      <w:r>
        <w:rPr>
          <w:rFonts w:hint="default"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人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录取规则：</w:t>
      </w:r>
      <w:r>
        <w:rPr>
          <w:rFonts w:hint="eastAsia" w:ascii="宋体" w:hAnsi="宋体"/>
          <w:sz w:val="24"/>
          <w:szCs w:val="24"/>
        </w:rPr>
        <w:t>根据绩点，思想品德及各类处分等信息做出综合评价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公示网站</w:t>
      </w:r>
      <w:r>
        <w:rPr>
          <w:rFonts w:hint="eastAsia" w:ascii="宋体" w:hAnsi="宋体"/>
          <w:sz w:val="24"/>
          <w:szCs w:val="24"/>
        </w:rPr>
        <w:t>：</w:t>
      </w:r>
      <w:r>
        <w:fldChar w:fldCharType="begin"/>
      </w:r>
      <w:r>
        <w:instrText xml:space="preserve"> HYPERLINK "http://www.phil.pku.edu.cn" </w:instrText>
      </w:r>
      <w:r>
        <w:fldChar w:fldCharType="separate"/>
      </w:r>
      <w:r>
        <w:rPr>
          <w:rStyle w:val="16"/>
          <w:rFonts w:ascii="宋体" w:hAnsi="宋体"/>
          <w:color w:val="6DA0E3"/>
          <w:sz w:val="24"/>
          <w:szCs w:val="24"/>
        </w:rPr>
        <w:t>www.phil.pku.edu.cn</w:t>
      </w:r>
      <w:r>
        <w:rPr>
          <w:rStyle w:val="16"/>
          <w:rFonts w:ascii="宋体" w:hAnsi="宋体"/>
          <w:color w:val="6DA0E3"/>
          <w:sz w:val="24"/>
          <w:szCs w:val="24"/>
        </w:rPr>
        <w:fldChar w:fldCharType="end"/>
      </w:r>
    </w:p>
    <w:p>
      <w:pPr>
        <w:spacing w:beforeAutospacing="0" w:afterAutospacing="0" w:line="360" w:lineRule="auto"/>
        <w:ind w:left="360"/>
        <w:rPr>
          <w:rFonts w:ascii="宋体" w:hAnsi="宋体"/>
          <w:sz w:val="24"/>
          <w:szCs w:val="24"/>
        </w:rPr>
      </w:pPr>
    </w:p>
    <w:p>
      <w:pPr>
        <w:spacing w:beforeAutospacing="0" w:afterAutospacing="0" w:line="360" w:lineRule="auto"/>
        <w:ind w:firstLine="4920" w:firstLineChars="205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北京大学哲学系</w:t>
      </w:r>
    </w:p>
    <w:p>
      <w:pPr>
        <w:spacing w:beforeAutospacing="0" w:afterAutospacing="0" w:line="360" w:lineRule="auto"/>
        <w:ind w:firstLine="5280" w:firstLineChars="2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2</w:t>
      </w:r>
      <w:r>
        <w:rPr>
          <w:rFonts w:hint="default"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709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6408"/>
    <w:multiLevelType w:val="multilevel"/>
    <w:tmpl w:val="6266640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2666413"/>
    <w:multiLevelType w:val="multilevel"/>
    <w:tmpl w:val="62666413"/>
    <w:lvl w:ilvl="0" w:tentative="0">
      <w:start w:val="1"/>
      <w:numFmt w:val="upperLetter"/>
      <w:lvlText w:val="%1、"/>
      <w:lvlJc w:val="left"/>
      <w:pPr>
        <w:ind w:left="795" w:hanging="43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266641E"/>
    <w:multiLevelType w:val="multilevel"/>
    <w:tmpl w:val="6266641E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">
    <w:nsid w:val="62666429"/>
    <w:multiLevelType w:val="multilevel"/>
    <w:tmpl w:val="62666429"/>
    <w:lvl w:ilvl="0" w:tentative="0">
      <w:start w:val="1"/>
      <w:numFmt w:val="bullet"/>
      <w:lvlText w:val="n"/>
      <w:lvlJc w:val="left"/>
      <w:pPr>
        <w:ind w:left="1215" w:hanging="420"/>
      </w:pPr>
      <w:rPr>
        <w:rFonts w:hint="default" w:ascii="Wingdings" w:hAnsi="Wingdings" w:eastAsia="Wingdings" w:cs="Wingdings"/>
        <w:b w:val="0"/>
        <w:i w:val="0"/>
      </w:rPr>
    </w:lvl>
    <w:lvl w:ilvl="1" w:tentative="0">
      <w:start w:val="1"/>
      <w:numFmt w:val="bullet"/>
      <w:lvlText w:val="n"/>
      <w:lvlJc w:val="left"/>
      <w:pPr>
        <w:ind w:left="1635" w:hanging="420"/>
      </w:pPr>
      <w:rPr>
        <w:rFonts w:hint="default" w:ascii="Wingdings" w:hAnsi="Wingdings" w:eastAsia="Wingdings" w:cs="Wingdings"/>
        <w:b w:val="0"/>
        <w:i w:val="0"/>
      </w:rPr>
    </w:lvl>
    <w:lvl w:ilvl="2" w:tentative="0">
      <w:start w:val="1"/>
      <w:numFmt w:val="bullet"/>
      <w:lvlText w:val="u"/>
      <w:lvlJc w:val="left"/>
      <w:pPr>
        <w:ind w:left="2055" w:hanging="420"/>
      </w:pPr>
      <w:rPr>
        <w:rFonts w:hint="default" w:ascii="Wingdings" w:hAnsi="Wingdings" w:eastAsia="Wingdings" w:cs="Wingdings"/>
        <w:b w:val="0"/>
        <w:i w:val="0"/>
      </w:rPr>
    </w:lvl>
    <w:lvl w:ilvl="3" w:tentative="0">
      <w:start w:val="1"/>
      <w:numFmt w:val="bullet"/>
      <w:lvlText w:val="l"/>
      <w:lvlJc w:val="left"/>
      <w:pPr>
        <w:ind w:left="2475" w:hanging="420"/>
      </w:pPr>
      <w:rPr>
        <w:rFonts w:hint="default" w:ascii="Wingdings" w:hAnsi="Wingdings" w:eastAsia="Wingdings" w:cs="Wingdings"/>
        <w:b w:val="0"/>
        <w:i w:val="0"/>
      </w:rPr>
    </w:lvl>
    <w:lvl w:ilvl="4" w:tentative="0">
      <w:start w:val="1"/>
      <w:numFmt w:val="bullet"/>
      <w:lvlText w:val="n"/>
      <w:lvlJc w:val="left"/>
      <w:pPr>
        <w:ind w:left="2895" w:hanging="420"/>
      </w:pPr>
      <w:rPr>
        <w:rFonts w:hint="default" w:ascii="Wingdings" w:hAnsi="Wingdings" w:eastAsia="Wingdings" w:cs="Wingdings"/>
        <w:b w:val="0"/>
        <w:i w:val="0"/>
      </w:rPr>
    </w:lvl>
    <w:lvl w:ilvl="5" w:tentative="0">
      <w:start w:val="1"/>
      <w:numFmt w:val="bullet"/>
      <w:lvlText w:val="u"/>
      <w:lvlJc w:val="left"/>
      <w:pPr>
        <w:ind w:left="3315" w:hanging="420"/>
      </w:pPr>
      <w:rPr>
        <w:rFonts w:hint="default" w:ascii="Wingdings" w:hAnsi="Wingdings" w:eastAsia="Wingdings" w:cs="Wingdings"/>
        <w:b w:val="0"/>
        <w:i w:val="0"/>
      </w:rPr>
    </w:lvl>
    <w:lvl w:ilvl="6" w:tentative="0">
      <w:start w:val="1"/>
      <w:numFmt w:val="bullet"/>
      <w:lvlText w:val="l"/>
      <w:lvlJc w:val="left"/>
      <w:pPr>
        <w:ind w:left="3735" w:hanging="420"/>
      </w:pPr>
      <w:rPr>
        <w:rFonts w:hint="default" w:ascii="Wingdings" w:hAnsi="Wingdings" w:eastAsia="Wingdings" w:cs="Wingdings"/>
        <w:b w:val="0"/>
        <w:i w:val="0"/>
      </w:rPr>
    </w:lvl>
    <w:lvl w:ilvl="7" w:tentative="0">
      <w:start w:val="1"/>
      <w:numFmt w:val="bullet"/>
      <w:lvlText w:val="n"/>
      <w:lvlJc w:val="left"/>
      <w:pPr>
        <w:ind w:left="4155" w:hanging="420"/>
      </w:pPr>
      <w:rPr>
        <w:rFonts w:hint="default" w:ascii="Wingdings" w:hAnsi="Wingdings" w:eastAsia="Wingdings" w:cs="Wingdings"/>
        <w:b w:val="0"/>
        <w:i w:val="0"/>
      </w:rPr>
    </w:lvl>
    <w:lvl w:ilvl="8" w:tentative="0">
      <w:start w:val="1"/>
      <w:numFmt w:val="bullet"/>
      <w:lvlText w:val="u"/>
      <w:lvlJc w:val="left"/>
      <w:pPr>
        <w:ind w:left="4575" w:hanging="420"/>
      </w:pPr>
      <w:rPr>
        <w:rFonts w:hint="default" w:ascii="Wingdings" w:hAnsi="Wingdings" w:eastAsia="Wingdings" w:cs="Wingdings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E7F6944A"/>
    <w:rsid w:val="EBF75B81"/>
    <w:rsid w:val="FE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宋体" w:cs="Times New Roman" w:hAnsiTheme="majorHAns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beforeAutospacing="0" w:after="330" w:afterAutospacing="0" w:line="578" w:lineRule="auto"/>
      <w:outlineLvl w:val="0"/>
    </w:pPr>
    <w:rPr>
      <w:rFonts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autoSpaceDE w:val="0"/>
      <w:autoSpaceDN w:val="0"/>
      <w:spacing w:before="260" w:beforeAutospacing="0" w:after="260" w:afterAutospacing="0" w:line="416" w:lineRule="auto"/>
      <w:outlineLvl w:val="1"/>
    </w:pPr>
    <w:rPr>
      <w:rFonts w:ascii="Arial" w:hAnsi="Arial" w:eastAsia="黑体"/>
      <w:b/>
      <w:spacing w:val="10"/>
      <w:kern w:val="24"/>
      <w:sz w:val="32"/>
      <w:szCs w:val="32"/>
    </w:rPr>
  </w:style>
  <w:style w:type="character" w:default="1" w:styleId="14">
    <w:name w:val="Default Paragraph Font"/>
    <w:uiPriority w:val="0"/>
    <w:rPr>
      <w:rFonts w:hAnsiTheme="majorHAnsi"/>
    </w:rPr>
  </w:style>
  <w:style w:type="table" w:default="1" w:styleId="18">
    <w:name w:val="Normal Table"/>
    <w:uiPriority w:val="0"/>
    <w:rPr>
      <w:rFonts w:hAnsiTheme="majorHAn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2"/>
    <w:uiPriority w:val="99"/>
    <w:rPr>
      <w:rFonts w:eastAsia="宋体" w:cs="Times New Roman"/>
      <w:b/>
    </w:rPr>
  </w:style>
  <w:style w:type="paragraph" w:styleId="5">
    <w:name w:val="annotation text"/>
    <w:basedOn w:val="1"/>
    <w:link w:val="31"/>
    <w:uiPriority w:val="99"/>
    <w:pPr>
      <w:jc w:val="left"/>
    </w:pPr>
    <w:rPr>
      <w:rFonts w:eastAsia="宋体" w:cs="Times New Roman"/>
    </w:rPr>
  </w:style>
  <w:style w:type="paragraph" w:styleId="6">
    <w:name w:val="Body Text First Indent"/>
    <w:basedOn w:val="1"/>
    <w:link w:val="34"/>
    <w:qFormat/>
    <w:uiPriority w:val="99"/>
    <w:pPr>
      <w:widowControl/>
      <w:spacing w:beforeLines="100" w:beforeAutospacing="0" w:afterLines="100" w:afterAutospacing="0"/>
      <w:ind w:firstLine="480" w:firstLineChars="200"/>
      <w:jc w:val="left"/>
    </w:pPr>
    <w:rPr>
      <w:rFonts w:ascii="宋体"/>
      <w:color w:val="000000"/>
      <w:kern w:val="0"/>
      <w:sz w:val="24"/>
      <w:szCs w:val="24"/>
    </w:rPr>
  </w:style>
  <w:style w:type="paragraph" w:styleId="7">
    <w:name w:val="Body Text"/>
    <w:basedOn w:val="1"/>
    <w:link w:val="33"/>
    <w:qFormat/>
    <w:uiPriority w:val="99"/>
    <w:pPr>
      <w:spacing w:beforeAutospacing="0" w:after="120" w:afterAutospacing="0"/>
    </w:pPr>
    <w:rPr>
      <w:rFonts w:eastAsia="宋体" w:cs="Times New Roman"/>
    </w:rPr>
  </w:style>
  <w:style w:type="paragraph" w:styleId="8">
    <w:name w:val="Body Text Indent"/>
    <w:basedOn w:val="1"/>
    <w:link w:val="23"/>
    <w:uiPriority w:val="99"/>
    <w:pPr>
      <w:ind w:firstLine="359" w:firstLineChars="171"/>
    </w:pPr>
  </w:style>
  <w:style w:type="paragraph" w:styleId="9">
    <w:name w:val="Date"/>
    <w:basedOn w:val="1"/>
    <w:next w:val="1"/>
    <w:uiPriority w:val="0"/>
    <w:pPr>
      <w:ind w:left="100" w:leftChars="2500"/>
    </w:pPr>
    <w:rPr>
      <w:sz w:val="24"/>
      <w:szCs w:val="24"/>
    </w:rPr>
  </w:style>
  <w:style w:type="paragraph" w:styleId="10">
    <w:name w:val="Balloon Text"/>
    <w:basedOn w:val="1"/>
    <w:link w:val="22"/>
    <w:uiPriority w:val="99"/>
    <w:rPr>
      <w:sz w:val="18"/>
      <w:szCs w:val="18"/>
    </w:rPr>
  </w:style>
  <w:style w:type="paragraph" w:styleId="11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8"/>
    <w:link w:val="39"/>
    <w:uiPriority w:val="99"/>
    <w:pPr>
      <w:spacing w:beforeAutospacing="0" w:after="120" w:afterAutospacing="0"/>
      <w:ind w:left="420" w:leftChars="200" w:firstLine="420" w:firstLineChars="200"/>
    </w:pPr>
  </w:style>
  <w:style w:type="paragraph" w:styleId="13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563C1"/>
      <w:u w:val="single"/>
    </w:rPr>
  </w:style>
  <w:style w:type="character" w:styleId="17">
    <w:name w:val="annotation reference"/>
    <w:uiPriority w:val="99"/>
    <w:rPr>
      <w:sz w:val="21"/>
      <w:szCs w:val="21"/>
    </w:rPr>
  </w:style>
  <w:style w:type="table" w:styleId="19">
    <w:name w:val="Table Grid"/>
    <w:basedOn w:val="18"/>
    <w:qFormat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页眉 字符"/>
    <w:link w:val="13"/>
    <w:uiPriority w:val="99"/>
    <w:rPr>
      <w:kern w:val="2"/>
      <w:sz w:val="18"/>
      <w:szCs w:val="18"/>
    </w:rPr>
  </w:style>
  <w:style w:type="character" w:customStyle="1" w:styleId="21">
    <w:name w:val="页脚 字符"/>
    <w:link w:val="11"/>
    <w:uiPriority w:val="99"/>
    <w:rPr>
      <w:kern w:val="2"/>
      <w:sz w:val="18"/>
      <w:szCs w:val="18"/>
    </w:rPr>
  </w:style>
  <w:style w:type="character" w:customStyle="1" w:styleId="22">
    <w:name w:val="批注框文本 字符"/>
    <w:link w:val="10"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8"/>
    <w:uiPriority w:val="99"/>
    <w:rPr>
      <w:kern w:val="2"/>
      <w:sz w:val="21"/>
      <w:szCs w:val="21"/>
    </w:rPr>
  </w:style>
  <w:style w:type="character" w:customStyle="1" w:styleId="24">
    <w:name w:val="正文首行缩进 2 字符"/>
    <w:basedOn w:val="23"/>
    <w:link w:val="12"/>
    <w:uiPriority w:val="99"/>
  </w:style>
  <w:style w:type="character" w:customStyle="1" w:styleId="25">
    <w:name w:val="标题 1 字符"/>
    <w:link w:val="2"/>
    <w:uiPriority w:val="9"/>
    <w:rPr>
      <w:b/>
      <w:kern w:val="44"/>
      <w:sz w:val="44"/>
      <w:szCs w:val="44"/>
    </w:rPr>
  </w:style>
  <w:style w:type="character" w:customStyle="1" w:styleId="26">
    <w:name w:val="标题 2 字符"/>
    <w:link w:val="3"/>
    <w:uiPriority w:val="0"/>
    <w:rPr>
      <w:rFonts w:ascii="Arial" w:hAnsi="Arial" w:eastAsia="黑体"/>
      <w:b/>
      <w:spacing w:val="10"/>
      <w:kern w:val="24"/>
      <w:sz w:val="32"/>
      <w:szCs w:val="32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  <w:rPr>
      <w:rFonts w:eastAsia="宋体" w:cs="Times New Roman"/>
    </w:rPr>
  </w:style>
  <w:style w:type="character" w:customStyle="1" w:styleId="28">
    <w:name w:val="Intense Emphasis"/>
    <w:qFormat/>
    <w:uiPriority w:val="21"/>
    <w:rPr>
      <w:b/>
      <w:i/>
      <w:color w:val="4F81BD"/>
    </w:rPr>
  </w:style>
  <w:style w:type="paragraph" w:customStyle="1" w:styleId="29">
    <w:name w:val="院系目录"/>
    <w:basedOn w:val="2"/>
    <w:link w:val="30"/>
    <w:qFormat/>
    <w:uiPriority w:val="0"/>
    <w:pPr>
      <w:keepLines w:val="0"/>
      <w:widowControl/>
      <w:tabs>
        <w:tab w:val="left" w:pos="1276"/>
      </w:tabs>
      <w:spacing w:beforeLines="100" w:beforeAutospacing="0" w:afterLines="100" w:afterAutospacing="0" w:line="240" w:lineRule="auto"/>
      <w:jc w:val="center"/>
    </w:pPr>
    <w:rPr>
      <w:rFonts w:ascii="黑体" w:eastAsia="黑体"/>
      <w:b w:val="0"/>
      <w:kern w:val="0"/>
    </w:rPr>
  </w:style>
  <w:style w:type="character" w:customStyle="1" w:styleId="30">
    <w:name w:val="院系目录 Char"/>
    <w:link w:val="29"/>
    <w:uiPriority w:val="0"/>
    <w:rPr>
      <w:rFonts w:ascii="黑体" w:eastAsia="黑体"/>
      <w:sz w:val="44"/>
      <w:szCs w:val="44"/>
    </w:rPr>
  </w:style>
  <w:style w:type="character" w:customStyle="1" w:styleId="31">
    <w:name w:val="批注文字 字符"/>
    <w:link w:val="5"/>
    <w:uiPriority w:val="99"/>
    <w:rPr>
      <w:kern w:val="2"/>
      <w:sz w:val="21"/>
      <w:szCs w:val="21"/>
    </w:rPr>
  </w:style>
  <w:style w:type="character" w:customStyle="1" w:styleId="32">
    <w:name w:val="批注主题 字符"/>
    <w:link w:val="4"/>
    <w:uiPriority w:val="99"/>
    <w:rPr>
      <w:b/>
      <w:kern w:val="2"/>
      <w:sz w:val="21"/>
      <w:szCs w:val="21"/>
    </w:rPr>
  </w:style>
  <w:style w:type="character" w:customStyle="1" w:styleId="33">
    <w:name w:val="正文文本 字符"/>
    <w:link w:val="7"/>
    <w:qFormat/>
    <w:uiPriority w:val="99"/>
    <w:rPr>
      <w:kern w:val="2"/>
      <w:sz w:val="21"/>
      <w:szCs w:val="21"/>
    </w:rPr>
  </w:style>
  <w:style w:type="character" w:customStyle="1" w:styleId="34">
    <w:name w:val="正文首行缩进 字符"/>
    <w:link w:val="6"/>
    <w:qFormat/>
    <w:uiPriority w:val="99"/>
    <w:rPr>
      <w:rFonts w:ascii="宋体"/>
      <w:color w:val="000000"/>
      <w:kern w:val="2"/>
      <w:sz w:val="24"/>
      <w:szCs w:val="24"/>
    </w:rPr>
  </w:style>
  <w:style w:type="table" w:customStyle="1" w:styleId="35">
    <w:name w:val="网格型1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2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3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Revision"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9">
    <w:name w:val="正文文本首行缩进 2 字符"/>
    <w:basedOn w:val="23"/>
    <w:link w:val="12"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